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61" w:type="dxa"/>
        <w:jc w:val="center"/>
        <w:tblInd w:w="96" w:type="dxa"/>
        <w:tblLook w:val="04A0"/>
      </w:tblPr>
      <w:tblGrid>
        <w:gridCol w:w="535"/>
        <w:gridCol w:w="879"/>
        <w:gridCol w:w="1198"/>
        <w:gridCol w:w="482"/>
        <w:gridCol w:w="2855"/>
        <w:gridCol w:w="482"/>
        <w:gridCol w:w="1488"/>
        <w:gridCol w:w="2655"/>
        <w:gridCol w:w="265"/>
        <w:gridCol w:w="292"/>
        <w:gridCol w:w="299"/>
        <w:gridCol w:w="474"/>
        <w:gridCol w:w="438"/>
        <w:gridCol w:w="2319"/>
      </w:tblGrid>
      <w:tr w:rsidR="004F435A" w:rsidRPr="004F435A" w:rsidTr="003A7268">
        <w:trPr>
          <w:trHeight w:val="408"/>
          <w:jc w:val="center"/>
        </w:trPr>
        <w:tc>
          <w:tcPr>
            <w:tcW w:w="14661" w:type="dxa"/>
            <w:gridSpan w:val="14"/>
            <w:tcBorders>
              <w:top w:val="nil"/>
              <w:left w:val="nil"/>
              <w:bottom w:val="nil"/>
              <w:right w:val="nil"/>
            </w:tcBorders>
            <w:shd w:val="clear" w:color="auto" w:fill="auto"/>
            <w:vAlign w:val="center"/>
            <w:hideMark/>
          </w:tcPr>
          <w:p w:rsidR="004F435A" w:rsidRPr="004F435A" w:rsidRDefault="004F435A" w:rsidP="004F435A">
            <w:pPr>
              <w:widowControl/>
              <w:jc w:val="center"/>
              <w:rPr>
                <w:rFonts w:ascii="Courier New" w:eastAsia="宋体" w:hAnsi="Courier New" w:cs="宋体"/>
                <w:b/>
                <w:bCs/>
                <w:kern w:val="0"/>
                <w:sz w:val="32"/>
                <w:szCs w:val="32"/>
              </w:rPr>
            </w:pPr>
            <w:r w:rsidRPr="004F435A">
              <w:rPr>
                <w:rFonts w:ascii="Courier New" w:eastAsia="宋体" w:hAnsi="Courier New" w:cs="宋体"/>
                <w:b/>
                <w:bCs/>
                <w:kern w:val="0"/>
                <w:sz w:val="32"/>
                <w:szCs w:val="32"/>
              </w:rPr>
              <w:t>项目支出绩效自评表</w:t>
            </w:r>
          </w:p>
        </w:tc>
      </w:tr>
      <w:tr w:rsidR="004F435A" w:rsidRPr="004F435A" w:rsidTr="003A7268">
        <w:trPr>
          <w:trHeight w:val="288"/>
          <w:jc w:val="center"/>
        </w:trPr>
        <w:tc>
          <w:tcPr>
            <w:tcW w:w="14661" w:type="dxa"/>
            <w:gridSpan w:val="14"/>
            <w:tcBorders>
              <w:top w:val="nil"/>
              <w:left w:val="nil"/>
              <w:bottom w:val="nil"/>
              <w:right w:val="nil"/>
            </w:tcBorders>
            <w:shd w:val="clear" w:color="auto" w:fill="auto"/>
            <w:vAlign w:val="center"/>
            <w:hideMark/>
          </w:tcPr>
          <w:p w:rsidR="004F435A" w:rsidRPr="004F435A" w:rsidRDefault="004F435A" w:rsidP="004F435A">
            <w:pPr>
              <w:widowControl/>
              <w:jc w:val="center"/>
              <w:rPr>
                <w:rFonts w:ascii="宋体" w:eastAsia="宋体" w:hAnsi="宋体" w:cs="宋体"/>
                <w:kern w:val="0"/>
                <w:sz w:val="22"/>
              </w:rPr>
            </w:pPr>
            <w:r w:rsidRPr="004F435A">
              <w:rPr>
                <w:rFonts w:ascii="宋体" w:eastAsia="宋体" w:hAnsi="宋体" w:cs="宋体" w:hint="eastAsia"/>
                <w:kern w:val="0"/>
                <w:sz w:val="22"/>
              </w:rPr>
              <w:t>（</w:t>
            </w:r>
            <w:r w:rsidR="003A7268">
              <w:rPr>
                <w:rFonts w:ascii="宋体" w:eastAsia="宋体" w:hAnsi="宋体" w:cs="宋体" w:hint="eastAsia"/>
                <w:kern w:val="0"/>
                <w:sz w:val="22"/>
              </w:rPr>
              <w:t>2022</w:t>
            </w:r>
            <w:r w:rsidRPr="004F435A">
              <w:rPr>
                <w:rFonts w:ascii="宋体" w:eastAsia="宋体" w:hAnsi="宋体" w:cs="宋体" w:hint="eastAsia"/>
                <w:kern w:val="0"/>
                <w:sz w:val="22"/>
              </w:rPr>
              <w:t>年度）</w:t>
            </w:r>
          </w:p>
        </w:tc>
      </w:tr>
      <w:tr w:rsidR="009E4E1E" w:rsidRPr="004F435A" w:rsidTr="003A7268">
        <w:trPr>
          <w:trHeight w:val="288"/>
          <w:jc w:val="center"/>
        </w:trPr>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c>
          <w:tcPr>
            <w:tcW w:w="1706" w:type="dxa"/>
            <w:tcBorders>
              <w:top w:val="nil"/>
              <w:left w:val="nil"/>
              <w:bottom w:val="single" w:sz="4" w:space="0" w:color="auto"/>
              <w:right w:val="nil"/>
            </w:tcBorders>
            <w:shd w:val="clear" w:color="auto" w:fill="auto"/>
            <w:vAlign w:val="center"/>
            <w:hideMark/>
          </w:tcPr>
          <w:p w:rsidR="004F435A" w:rsidRPr="004F435A" w:rsidRDefault="004F435A" w:rsidP="004F435A">
            <w:pPr>
              <w:widowControl/>
              <w:jc w:val="left"/>
              <w:rPr>
                <w:rFonts w:ascii="宋体" w:eastAsia="宋体" w:hAnsi="宋体" w:cs="宋体"/>
                <w:kern w:val="0"/>
                <w:sz w:val="22"/>
              </w:rPr>
            </w:pPr>
          </w:p>
        </w:tc>
      </w:tr>
      <w:tr w:rsidR="004F435A" w:rsidRPr="004F435A" w:rsidTr="003A7268">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项目名称</w:t>
            </w:r>
          </w:p>
        </w:tc>
        <w:tc>
          <w:tcPr>
            <w:tcW w:w="13266" w:type="dxa"/>
            <w:gridSpan w:val="1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设备购置-双一流交叉学科设备购置（双一流学科建设）</w:t>
            </w:r>
          </w:p>
        </w:tc>
      </w:tr>
      <w:tr w:rsidR="004F435A" w:rsidRPr="004F435A" w:rsidTr="003A7268">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实施单位</w:t>
            </w:r>
          </w:p>
        </w:tc>
        <w:tc>
          <w:tcPr>
            <w:tcW w:w="3526" w:type="dxa"/>
            <w:gridSpan w:val="5"/>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首都师范大学</w:t>
            </w:r>
          </w:p>
        </w:tc>
      </w:tr>
      <w:tr w:rsidR="004F435A" w:rsidRPr="004F435A" w:rsidTr="003A7268">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蔡可</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联系电话</w:t>
            </w:r>
          </w:p>
        </w:tc>
        <w:tc>
          <w:tcPr>
            <w:tcW w:w="3526" w:type="dxa"/>
            <w:gridSpan w:val="5"/>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18611169710</w:t>
            </w:r>
          </w:p>
        </w:tc>
      </w:tr>
      <w:tr w:rsidR="004F435A" w:rsidRPr="004F435A" w:rsidTr="003A7268">
        <w:trPr>
          <w:trHeight w:val="56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项目资金</w:t>
            </w:r>
            <w:r w:rsidRPr="004F435A">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执行率</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得分</w:t>
            </w:r>
          </w:p>
        </w:tc>
      </w:tr>
      <w:tr w:rsidR="004F435A" w:rsidRPr="004F435A" w:rsidTr="003A7268">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年度资金总额</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298.000000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298.000000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296.164900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99.38%</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9.94</w:t>
            </w:r>
          </w:p>
        </w:tc>
      </w:tr>
      <w:tr w:rsidR="004F435A" w:rsidRPr="004F435A" w:rsidTr="003A7268">
        <w:trPr>
          <w:trHeight w:val="2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其中：当年财政拨款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298.000000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298.000000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296.164900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99.38%</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w:t>
            </w:r>
          </w:p>
        </w:tc>
      </w:tr>
      <w:tr w:rsidR="004F435A" w:rsidRPr="004F435A" w:rsidTr="003A7268">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w:t>
            </w:r>
          </w:p>
        </w:tc>
      </w:tr>
      <w:tr w:rsidR="004F435A" w:rsidRPr="004F435A" w:rsidTr="003A7268">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w:t>
            </w:r>
          </w:p>
        </w:tc>
      </w:tr>
      <w:tr w:rsidR="004F435A" w:rsidRPr="004F435A" w:rsidTr="003A7268">
        <w:trPr>
          <w:trHeight w:val="149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预期目标</w:t>
            </w:r>
          </w:p>
        </w:tc>
        <w:tc>
          <w:tcPr>
            <w:tcW w:w="6887" w:type="dxa"/>
            <w:gridSpan w:val="7"/>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实际完成情况</w:t>
            </w:r>
          </w:p>
        </w:tc>
      </w:tr>
      <w:tr w:rsidR="004F435A" w:rsidRPr="004F435A" w:rsidTr="003A7268">
        <w:trPr>
          <w:trHeight w:val="37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left"/>
              <w:rPr>
                <w:rFonts w:ascii="仿宋_GB2312" w:eastAsia="仿宋_GB2312" w:hAnsi="宋体" w:cs="宋体"/>
                <w:color w:val="000000"/>
                <w:kern w:val="0"/>
                <w:sz w:val="20"/>
                <w:szCs w:val="20"/>
              </w:rPr>
            </w:pPr>
            <w:r w:rsidRPr="004F435A">
              <w:rPr>
                <w:rFonts w:ascii="仿宋_GB2312" w:eastAsia="仿宋_GB2312" w:hAnsi="宋体" w:cs="宋体" w:hint="eastAsia"/>
                <w:color w:val="000000"/>
                <w:kern w:val="0"/>
                <w:sz w:val="20"/>
                <w:szCs w:val="20"/>
              </w:rPr>
              <w:t xml:space="preserve">  人工智能创新教育示范空间是集课程、项目、创新方法、团队合作、新技术、多媒体于一体的生态化创新人才培养方案，在充分调研创新教育最新进展的基础上，运用现有技术手段构建实验室环境，鼓励和引导学生借助人工智能等技术开展创新实践，完善我国高素质人才培养体系的建设，具有较强的现实意义和可行性。建设人工智能创新教育实验室和相关教室有着完善的软硬件配套设施、丰富的课程体系、特色创新项目以及教师培训课程，能够在广大中小学进行推广普及，成为学校的标准配置，具有广阔的市场前景，能够创造良好的经济效益。通过建设中小学人工智能创新教育实验室，能够激发广大中小学生对人工智能为代表的高新技术的兴趣，培养未来技术进步的领军人才，满足我国人工智能领域的人才需求。与此同时，在实验室的项目式课程与实践中，还能够培养学生的创新能力和实践能力，增强人工智能技术的应用能力。实验室的实施能够完善学校的育人功能，提升学生的综合素质，为综合性学生评价提供支撑。人工智能创新教育实验室是教育现代化建设的重要环节，具有重要的现实意义和社会效益。</w:t>
            </w:r>
          </w:p>
        </w:tc>
        <w:tc>
          <w:tcPr>
            <w:tcW w:w="6887" w:type="dxa"/>
            <w:gridSpan w:val="7"/>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设备购置-双一流交叉学科设备购置（双一流学科建设）项目批复后立即开始进行方案设计、意见征求、细节确定、采购建设等工作，本项目于2022年5月完成招标采购工作，于9月开学正式投入使用，现已圆满完成项目全部建设工作任务。该项目完成建设人工智能创新教育示范空间4间（</w:t>
            </w:r>
            <w:proofErr w:type="gramStart"/>
            <w:r w:rsidRPr="004F435A">
              <w:rPr>
                <w:rFonts w:ascii="仿宋_GB2312" w:eastAsia="仿宋_GB2312" w:hAnsi="宋体" w:cs="宋体" w:hint="eastAsia"/>
                <w:color w:val="000000"/>
                <w:kern w:val="0"/>
                <w:sz w:val="22"/>
              </w:rPr>
              <w:t>校本部教二</w:t>
            </w:r>
            <w:proofErr w:type="gramEnd"/>
            <w:r w:rsidRPr="004F435A">
              <w:rPr>
                <w:rFonts w:ascii="仿宋_GB2312" w:eastAsia="仿宋_GB2312" w:hAnsi="宋体" w:cs="宋体" w:hint="eastAsia"/>
                <w:color w:val="000000"/>
                <w:kern w:val="0"/>
                <w:sz w:val="22"/>
              </w:rPr>
              <w:t>楼213、215、217、219），由于部分智慧教学设备可灵活移动，根据教育教学需要，依托于智慧设备，将智慧教学功能复合于普通公共教室，打造4+X人工智能创新教育示范区。空间建设集新课程、新教学、新技术于一体，运用现代技术手段构建教师教育环境与生态，引导师范生熟悉常见软件平台与技术产品，依托完善的软硬件配套设施，如多媒体智能大屏交互音视频设备设施、教室录播直播设备、教室环境</w:t>
            </w:r>
            <w:proofErr w:type="gramStart"/>
            <w:r w:rsidRPr="004F435A">
              <w:rPr>
                <w:rFonts w:ascii="仿宋_GB2312" w:eastAsia="仿宋_GB2312" w:hAnsi="宋体" w:cs="宋体" w:hint="eastAsia"/>
                <w:color w:val="000000"/>
                <w:kern w:val="0"/>
                <w:sz w:val="22"/>
              </w:rPr>
              <w:t>智能物联设备</w:t>
            </w:r>
            <w:proofErr w:type="gramEnd"/>
            <w:r w:rsidRPr="004F435A">
              <w:rPr>
                <w:rFonts w:ascii="仿宋_GB2312" w:eastAsia="仿宋_GB2312" w:hAnsi="宋体" w:cs="宋体" w:hint="eastAsia"/>
                <w:color w:val="000000"/>
                <w:kern w:val="0"/>
                <w:sz w:val="22"/>
              </w:rPr>
              <w:t>、相关教育教学平台及软件、虚拟实验、人工智能项目学习课程、可拼搭机器人及相应人工智能识别工具等，为教学改革的常态化提供环境基础，借助人工智能等技术开展教学新模式专题课题与项目，深化面向未来的卓越教师培养。</w:t>
            </w:r>
          </w:p>
        </w:tc>
      </w:tr>
      <w:tr w:rsidR="004F435A" w:rsidRPr="004F435A" w:rsidTr="003A7268">
        <w:trPr>
          <w:trHeight w:val="6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得分</w:t>
            </w:r>
          </w:p>
        </w:tc>
        <w:tc>
          <w:tcPr>
            <w:tcW w:w="2456" w:type="dxa"/>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偏差原因分析及改进措施</w:t>
            </w:r>
          </w:p>
        </w:tc>
      </w:tr>
      <w:tr w:rsidR="004F435A" w:rsidRPr="004F435A" w:rsidTr="003A7268">
        <w:trPr>
          <w:trHeight w:val="6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产出指标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数量指标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建设人工智能创新教育实验室及相关教室</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4个</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4个</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15</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r w:rsidR="003A7268">
              <w:rPr>
                <w:rFonts w:ascii="仿宋_GB2312" w:eastAsia="仿宋_GB2312" w:hAnsi="宋体" w:cs="宋体" w:hint="eastAsia"/>
                <w:color w:val="000000"/>
                <w:kern w:val="0"/>
                <w:sz w:val="22"/>
              </w:rPr>
              <w:t>无</w:t>
            </w:r>
          </w:p>
        </w:tc>
      </w:tr>
      <w:tr w:rsidR="004F435A" w:rsidRPr="004F435A" w:rsidTr="003A7268">
        <w:trPr>
          <w:trHeight w:val="9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质量指标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设备验收通过率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设备验收率达100%。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15</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r w:rsidR="003A7268">
              <w:rPr>
                <w:rFonts w:ascii="仿宋_GB2312" w:eastAsia="仿宋_GB2312" w:hAnsi="宋体" w:cs="宋体" w:hint="eastAsia"/>
                <w:color w:val="000000"/>
                <w:kern w:val="0"/>
                <w:sz w:val="22"/>
              </w:rPr>
              <w:t>无</w:t>
            </w:r>
          </w:p>
        </w:tc>
      </w:tr>
      <w:tr w:rsidR="004F435A" w:rsidRPr="004F435A" w:rsidTr="003A7268">
        <w:trPr>
          <w:trHeight w:val="9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时效指标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0"/>
                <w:szCs w:val="20"/>
              </w:rPr>
            </w:pPr>
            <w:r w:rsidRPr="004F435A">
              <w:rPr>
                <w:rFonts w:ascii="仿宋_GB2312" w:eastAsia="仿宋_GB2312" w:hAnsi="宋体" w:cs="宋体" w:hint="eastAsia"/>
                <w:color w:val="000000"/>
                <w:kern w:val="0"/>
                <w:sz w:val="20"/>
                <w:szCs w:val="20"/>
              </w:rPr>
              <w:t>项目完成时间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项目于2022年9月前全部建设完毕并已投入使用。</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10</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r w:rsidR="003A7268">
              <w:rPr>
                <w:rFonts w:ascii="仿宋_GB2312" w:eastAsia="仿宋_GB2312" w:hAnsi="宋体" w:cs="宋体" w:hint="eastAsia"/>
                <w:color w:val="000000"/>
                <w:kern w:val="0"/>
                <w:sz w:val="22"/>
              </w:rPr>
              <w:t>无</w:t>
            </w:r>
          </w:p>
        </w:tc>
      </w:tr>
      <w:tr w:rsidR="004F435A" w:rsidRPr="004F435A" w:rsidTr="003A7268">
        <w:trPr>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成本指标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项目实施成本</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≤298万元</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实际实施成本296.1649万元，在预算内完成项目。</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10</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r w:rsidR="003A7268">
              <w:rPr>
                <w:rFonts w:ascii="仿宋_GB2312" w:eastAsia="仿宋_GB2312" w:hAnsi="宋体" w:cs="宋体" w:hint="eastAsia"/>
                <w:color w:val="000000"/>
                <w:kern w:val="0"/>
                <w:sz w:val="22"/>
              </w:rPr>
              <w:t>无</w:t>
            </w:r>
          </w:p>
        </w:tc>
      </w:tr>
      <w:tr w:rsidR="004F435A" w:rsidRPr="004F435A" w:rsidTr="003A7268">
        <w:trPr>
          <w:trHeight w:val="1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经济效益指标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0"/>
                <w:szCs w:val="20"/>
              </w:rPr>
            </w:pPr>
            <w:r w:rsidRPr="004F435A">
              <w:rPr>
                <w:rFonts w:ascii="仿宋_GB2312" w:eastAsia="仿宋_GB2312" w:hAnsi="宋体" w:cs="宋体" w:hint="eastAsia"/>
                <w:color w:val="000000"/>
                <w:kern w:val="0"/>
                <w:sz w:val="20"/>
                <w:szCs w:val="20"/>
              </w:rPr>
              <w:t>人工智能创新教育实验室有着完善的软硬件配套设施、丰富的课程体系、特色创新项目以及教师培训课程，能够在广大中小学进行推广普及，成为学校的标准配置，具有广阔的市场前景，能够创造良好的经济效益</w:t>
            </w:r>
            <w:r w:rsidR="009E4E1E">
              <w:rPr>
                <w:rFonts w:ascii="仿宋_GB2312" w:eastAsia="仿宋_GB2312" w:hAnsi="宋体" w:cs="宋体" w:hint="eastAsia"/>
                <w:color w:val="000000"/>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高中低</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18"/>
                <w:szCs w:val="18"/>
              </w:rPr>
            </w:pPr>
            <w:r w:rsidRPr="004F435A">
              <w:rPr>
                <w:rFonts w:ascii="仿宋_GB2312" w:eastAsia="仿宋_GB2312" w:hAnsi="宋体" w:cs="宋体" w:hint="eastAsia"/>
                <w:color w:val="000000"/>
                <w:kern w:val="0"/>
                <w:sz w:val="18"/>
                <w:szCs w:val="18"/>
              </w:rPr>
              <w:t>我校人工智能创新教育示范空间的建设为国内兄弟院校建设人工智能学习空间提供了相关的建设经验，为人工智能领域相关人才的培养和选拔提供了软硬件条件，如自动化直播录播设备可有效减少传统</w:t>
            </w:r>
            <w:proofErr w:type="gramStart"/>
            <w:r w:rsidRPr="004F435A">
              <w:rPr>
                <w:rFonts w:ascii="仿宋_GB2312" w:eastAsia="仿宋_GB2312" w:hAnsi="宋体" w:cs="宋体" w:hint="eastAsia"/>
                <w:color w:val="000000"/>
                <w:kern w:val="0"/>
                <w:sz w:val="18"/>
                <w:szCs w:val="18"/>
              </w:rPr>
              <w:t>录课过程</w:t>
            </w:r>
            <w:proofErr w:type="gramEnd"/>
            <w:r w:rsidRPr="004F435A">
              <w:rPr>
                <w:rFonts w:ascii="仿宋_GB2312" w:eastAsia="仿宋_GB2312" w:hAnsi="宋体" w:cs="宋体" w:hint="eastAsia"/>
                <w:color w:val="000000"/>
                <w:kern w:val="0"/>
                <w:sz w:val="18"/>
                <w:szCs w:val="18"/>
              </w:rPr>
              <w:t>中的人工成本，降低数字课程制作的成本，逐步体现经济效益。</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6</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经济效益指标基本完成，但仍有进步与提升空间。</w:t>
            </w:r>
          </w:p>
        </w:tc>
      </w:tr>
      <w:tr w:rsidR="004F435A" w:rsidRPr="004F435A" w:rsidTr="003A7268">
        <w:trPr>
          <w:trHeight w:val="26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0"/>
                <w:szCs w:val="20"/>
              </w:rPr>
            </w:pPr>
            <w:r w:rsidRPr="004F435A">
              <w:rPr>
                <w:rFonts w:ascii="仿宋_GB2312" w:eastAsia="仿宋_GB2312" w:hAnsi="宋体" w:cs="宋体" w:hint="eastAsia"/>
                <w:color w:val="000000"/>
                <w:kern w:val="0"/>
                <w:sz w:val="20"/>
                <w:szCs w:val="20"/>
              </w:rPr>
              <w:t>通过建设中小学人工智能创新教育实验室，能够激发广大中小学生对人工智能为代表的高新技术的兴趣，培养未来技术进步的领军人才，满足我国人工智能领域的人才需求。与此同时，在实验室的项目式课程与实践中，还能够培养学生的创新能力和实践能力，增强人工智能技术的应用能力</w:t>
            </w:r>
            <w:r w:rsidR="009E4E1E">
              <w:rPr>
                <w:rFonts w:ascii="仿宋_GB2312" w:eastAsia="仿宋_GB2312" w:hAnsi="宋体" w:cs="宋体" w:hint="eastAsia"/>
                <w:color w:val="000000"/>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高中低</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18"/>
                <w:szCs w:val="18"/>
              </w:rPr>
            </w:pPr>
            <w:r w:rsidRPr="004F435A">
              <w:rPr>
                <w:rFonts w:ascii="仿宋_GB2312" w:eastAsia="仿宋_GB2312" w:hAnsi="宋体" w:cs="宋体" w:hint="eastAsia"/>
                <w:color w:val="000000"/>
                <w:kern w:val="0"/>
                <w:sz w:val="18"/>
                <w:szCs w:val="18"/>
              </w:rPr>
              <w:t>1. 向中小学生普及和推广以人工智能为代表的新技术。通过建设中小学创新教育实验室, 培养面向未来的卓越教师，向中小学生普及和推广以人工智能为代表的新技术。</w:t>
            </w:r>
            <w:r w:rsidRPr="004F435A">
              <w:rPr>
                <w:rFonts w:ascii="仿宋_GB2312" w:eastAsia="仿宋_GB2312" w:hAnsi="宋体" w:cs="宋体" w:hint="eastAsia"/>
                <w:color w:val="000000"/>
                <w:kern w:val="0"/>
                <w:sz w:val="18"/>
                <w:szCs w:val="18"/>
              </w:rPr>
              <w:br/>
              <w:t xml:space="preserve">2. 有效促进高素质人才培养。学校借助人工智能等技术开展教学新模式专题课题与项目，为我校教育部基础学科拔尖学生2.0基地人才培养提供平台，推进我校交叉学科建设和“双一流”学科建设水平整体提升，助力“攀登计划”的实施。 </w:t>
            </w:r>
            <w:r w:rsidRPr="004F435A">
              <w:rPr>
                <w:rFonts w:ascii="仿宋_GB2312" w:eastAsia="仿宋_GB2312" w:hAnsi="宋体" w:cs="宋体" w:hint="eastAsia"/>
                <w:color w:val="000000"/>
                <w:kern w:val="0"/>
                <w:sz w:val="18"/>
                <w:szCs w:val="18"/>
              </w:rPr>
              <w:br/>
            </w:r>
            <w:r w:rsidRPr="004F435A">
              <w:rPr>
                <w:rFonts w:ascii="仿宋_GB2312" w:eastAsia="仿宋_GB2312" w:hAnsi="宋体" w:cs="宋体" w:hint="eastAsia"/>
                <w:color w:val="000000"/>
                <w:kern w:val="0"/>
                <w:sz w:val="18"/>
                <w:szCs w:val="18"/>
              </w:rPr>
              <w:lastRenderedPageBreak/>
              <w:t>3.服务首都基础教育“双减”。借助实验室完善的设施，为北京区县中小学提供菜单式课后服务。</w:t>
            </w:r>
            <w:r w:rsidRPr="004F435A">
              <w:rPr>
                <w:rFonts w:ascii="仿宋_GB2312" w:eastAsia="仿宋_GB2312" w:hAnsi="宋体" w:cs="宋体" w:hint="eastAsia"/>
                <w:color w:val="000000"/>
                <w:kern w:val="0"/>
                <w:sz w:val="18"/>
                <w:szCs w:val="18"/>
              </w:rPr>
              <w:br/>
              <w:t>4．进一步推动“人工智能+教育”在我校落地。助力学校探索基于人工智能技术的教育教学改革，推动人工智能技术与日常教育教学进一步融合。</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lastRenderedPageBreak/>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7.5</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r w:rsidR="003A7268">
              <w:rPr>
                <w:rFonts w:ascii="仿宋_GB2312" w:eastAsia="仿宋_GB2312" w:hAnsi="宋体" w:cs="宋体" w:hint="eastAsia"/>
                <w:color w:val="000000"/>
                <w:kern w:val="0"/>
                <w:sz w:val="22"/>
              </w:rPr>
              <w:t>无</w:t>
            </w:r>
          </w:p>
        </w:tc>
      </w:tr>
      <w:tr w:rsidR="004F435A" w:rsidRPr="004F435A" w:rsidTr="003A7268">
        <w:trPr>
          <w:trHeight w:val="27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生态效益指标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0"/>
                <w:szCs w:val="20"/>
              </w:rPr>
            </w:pPr>
            <w:r w:rsidRPr="004F435A">
              <w:rPr>
                <w:rFonts w:ascii="仿宋_GB2312" w:eastAsia="仿宋_GB2312" w:hAnsi="宋体" w:cs="宋体" w:hint="eastAsia"/>
                <w:color w:val="000000"/>
                <w:kern w:val="0"/>
                <w:sz w:val="20"/>
                <w:szCs w:val="20"/>
              </w:rPr>
              <w:t>人工智能教育是跨学科、综合性知识的应用，通过学生科学研究、技术制作、艺术创作等活动的过程，引导、激发学生的兴趣特长，挖掘学生个性发展的内在需求，培养学生的主动探索精神、批判性思维能力、自主能力、合作研究能力、语言表达能力、艺术创作能力等，从而为培养未来的创新人才奠基</w:t>
            </w:r>
            <w:r w:rsidR="009E4E1E">
              <w:rPr>
                <w:rFonts w:ascii="仿宋_GB2312" w:eastAsia="仿宋_GB2312" w:hAnsi="宋体" w:cs="宋体" w:hint="eastAsia"/>
                <w:color w:val="000000"/>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高中低</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18"/>
                <w:szCs w:val="18"/>
              </w:rPr>
            </w:pPr>
            <w:r w:rsidRPr="004F435A">
              <w:rPr>
                <w:rFonts w:ascii="仿宋_GB2312" w:eastAsia="仿宋_GB2312" w:hAnsi="宋体" w:cs="宋体" w:hint="eastAsia"/>
                <w:color w:val="000000"/>
                <w:kern w:val="0"/>
                <w:sz w:val="18"/>
                <w:szCs w:val="18"/>
              </w:rPr>
              <w:t>依托于人工智能教育设备，对培养学生的主动探索精神、批判性思维能力、自主能力、合作研究能力、语言表达能力、艺术创作能力等起到积极作用。开展如环境保护与可持续发展等课程，有利于提升学生环境保护能力素质，为培养生态环保相关领域人才贡献力量。</w:t>
            </w:r>
            <w:r w:rsidRPr="004F435A">
              <w:rPr>
                <w:rFonts w:ascii="仿宋_GB2312" w:eastAsia="仿宋_GB2312" w:hAnsi="宋体" w:cs="宋体" w:hint="eastAsia"/>
                <w:color w:val="000000"/>
                <w:kern w:val="0"/>
                <w:sz w:val="18"/>
                <w:szCs w:val="18"/>
              </w:rPr>
              <w:br/>
              <w:t>通过设备购置，建设人工智能创新教育实验室及相关教室，一方面服务相关学科的人才培养，同时服务满足如教学创新大赛、挑战杯、建模比赛等创新活动的开展，为前沿领域人才选拔提供保障。</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4.5</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指标值设置的不够合理。改进措施：根据项目实际情况，按效益产出分类设置对应的绩效指标，规范各项效益指标设置。</w:t>
            </w:r>
          </w:p>
        </w:tc>
      </w:tr>
      <w:tr w:rsidR="004F435A" w:rsidRPr="004F435A" w:rsidTr="003A7268">
        <w:trPr>
          <w:trHeight w:val="26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可持续影响指标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0"/>
                <w:szCs w:val="20"/>
              </w:rPr>
            </w:pPr>
            <w:r w:rsidRPr="004F435A">
              <w:rPr>
                <w:rFonts w:ascii="仿宋_GB2312" w:eastAsia="仿宋_GB2312" w:hAnsi="宋体" w:cs="宋体" w:hint="eastAsia"/>
                <w:color w:val="000000"/>
                <w:kern w:val="0"/>
                <w:sz w:val="20"/>
                <w:szCs w:val="20"/>
              </w:rPr>
              <w:t>十四五规划和2035年远景目标建议中明确指出：“坚持创新在我国现代化建设全局中的核心地位，把科技自立自强作为国家发展的战略支撑”。在建议中，同样明确了“瞄准人工智能、量子信息、集成电路、生命健康、脑科学、生物育种、空天科技、深地深海等前沿领域，实施一批具有前瞻性、战略性的国家重大科技项目”</w:t>
            </w:r>
            <w:r w:rsidR="009E4E1E">
              <w:rPr>
                <w:rFonts w:ascii="仿宋_GB2312" w:eastAsia="仿宋_GB2312" w:hAnsi="宋体" w:cs="宋体" w:hint="eastAsia"/>
                <w:color w:val="000000"/>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高中低</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18"/>
                <w:szCs w:val="18"/>
              </w:rPr>
            </w:pPr>
            <w:r w:rsidRPr="004F435A">
              <w:rPr>
                <w:rFonts w:ascii="仿宋_GB2312" w:eastAsia="仿宋_GB2312" w:hAnsi="宋体" w:cs="宋体" w:hint="eastAsia"/>
                <w:color w:val="000000"/>
                <w:kern w:val="0"/>
                <w:sz w:val="18"/>
                <w:szCs w:val="18"/>
              </w:rPr>
              <w:t>通过设备购置，建设人工智能创新教育实验室及相关教室，一方面服务相关学科的人才培养，同时服务满足如教学创新大赛、挑战杯、建模比赛等创新活动的开展，为前沿领域人才选拔提供保障。</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7.5</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r w:rsidR="003A7268">
              <w:rPr>
                <w:rFonts w:ascii="仿宋_GB2312" w:eastAsia="仿宋_GB2312" w:hAnsi="宋体" w:cs="宋体" w:hint="eastAsia"/>
                <w:color w:val="000000"/>
                <w:kern w:val="0"/>
                <w:sz w:val="22"/>
              </w:rPr>
              <w:t>无</w:t>
            </w:r>
          </w:p>
        </w:tc>
      </w:tr>
      <w:tr w:rsidR="004F435A" w:rsidRPr="004F435A" w:rsidTr="003A7268">
        <w:trPr>
          <w:trHeight w:val="9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435A" w:rsidRPr="004F435A" w:rsidRDefault="004F435A" w:rsidP="004F435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师生满意度情况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根据调查问卷及日常教育教学中师生反馈，师生对整体空间环境及室内人工智能创新教育设备状态满意度为90%。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8</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满意度指标基本完成，但仍有进步与提升空间。</w:t>
            </w:r>
          </w:p>
        </w:tc>
      </w:tr>
      <w:tr w:rsidR="004F435A" w:rsidRPr="004F435A" w:rsidTr="003A7268">
        <w:trPr>
          <w:trHeight w:val="414"/>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b/>
                <w:bCs/>
                <w:color w:val="000000"/>
                <w:kern w:val="0"/>
                <w:sz w:val="22"/>
              </w:rPr>
            </w:pPr>
            <w:r w:rsidRPr="004F435A">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b/>
                <w:bCs/>
                <w:color w:val="000000"/>
                <w:kern w:val="0"/>
                <w:sz w:val="22"/>
              </w:rPr>
            </w:pPr>
            <w:r w:rsidRPr="004F435A">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b/>
                <w:bCs/>
                <w:color w:val="000000"/>
                <w:kern w:val="0"/>
                <w:sz w:val="22"/>
              </w:rPr>
            </w:pPr>
            <w:r w:rsidRPr="004F435A">
              <w:rPr>
                <w:rFonts w:ascii="仿宋_GB2312" w:eastAsia="仿宋_GB2312" w:hAnsi="宋体" w:cs="宋体" w:hint="eastAsia"/>
                <w:b/>
                <w:bCs/>
                <w:color w:val="000000"/>
                <w:kern w:val="0"/>
                <w:sz w:val="22"/>
              </w:rPr>
              <w:t xml:space="preserve">93.44 </w:t>
            </w:r>
          </w:p>
        </w:tc>
        <w:tc>
          <w:tcPr>
            <w:tcW w:w="2456" w:type="dxa"/>
            <w:gridSpan w:val="2"/>
            <w:tcBorders>
              <w:top w:val="single" w:sz="4" w:space="0" w:color="auto"/>
              <w:left w:val="nil"/>
              <w:bottom w:val="single" w:sz="4" w:space="0" w:color="auto"/>
              <w:right w:val="single" w:sz="4" w:space="0" w:color="auto"/>
            </w:tcBorders>
            <w:shd w:val="clear" w:color="auto" w:fill="auto"/>
            <w:vAlign w:val="center"/>
            <w:hideMark/>
          </w:tcPr>
          <w:p w:rsidR="004F435A" w:rsidRPr="004F435A" w:rsidRDefault="004F435A" w:rsidP="004F435A">
            <w:pPr>
              <w:widowControl/>
              <w:jc w:val="center"/>
              <w:rPr>
                <w:rFonts w:ascii="仿宋_GB2312" w:eastAsia="仿宋_GB2312" w:hAnsi="宋体" w:cs="宋体"/>
                <w:color w:val="000000"/>
                <w:kern w:val="0"/>
                <w:sz w:val="22"/>
              </w:rPr>
            </w:pPr>
            <w:r w:rsidRPr="004F435A">
              <w:rPr>
                <w:rFonts w:ascii="仿宋_GB2312" w:eastAsia="仿宋_GB2312" w:hAnsi="宋体" w:cs="宋体" w:hint="eastAsia"/>
                <w:color w:val="000000"/>
                <w:kern w:val="0"/>
                <w:sz w:val="22"/>
              </w:rPr>
              <w:t xml:space="preserve">　</w:t>
            </w:r>
          </w:p>
        </w:tc>
      </w:tr>
    </w:tbl>
    <w:p w:rsidR="00241CE0" w:rsidRDefault="00241CE0"/>
    <w:sectPr w:rsidR="00241CE0"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241CE0"/>
    <w:rsid w:val="003A7268"/>
    <w:rsid w:val="004F435A"/>
    <w:rsid w:val="009E2768"/>
    <w:rsid w:val="009E4E1E"/>
    <w:rsid w:val="00BF6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C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130890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448</Words>
  <Characters>2560</Characters>
  <Application>Microsoft Office Word</Application>
  <DocSecurity>0</DocSecurity>
  <Lines>21</Lines>
  <Paragraphs>6</Paragraphs>
  <ScaleCrop>false</ScaleCrop>
  <Company>HP</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2023-05-10T16:11:00Z</dcterms:created>
  <dcterms:modified xsi:type="dcterms:W3CDTF">2023-05-25T22:52:00Z</dcterms:modified>
</cp:coreProperties>
</file>